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129</w:t>
      </w:r>
    </w:p>
    <w:p>
      <w:r>
        <w:t>Bundesgericht (BGE), 1999-03-03, DE</w:t>
      </w:r>
    </w:p>
    <w:p>
      <w:r>
        <w:rPr>
          <w:b/>
        </w:rPr>
        <w:t xml:space="preserve">Quelle: </w:t>
      </w:r>
      <w:r>
        <w:t>https://mcp.opencaselaw.ch/entscheid/bge_125 II 129</w:t>
      </w:r>
    </w:p>
    <w:p>
      <w:r>
        <w:t>FR: ATF 125 II 129</w:t>
      </w:r>
    </w:p>
    <w:p>
      <w:r>
        <w:t>IT: DTF 125 II 129</w:t>
      </w:r>
    </w:p>
    <w:p>
      <w:pPr>
        <w:pStyle w:val="Heading2"/>
      </w:pPr>
      <w:r>
        <w:t>Regeste</w:t>
      </w:r>
    </w:p>
    <w:p>
      <w:r>
        <w:t>Regeste Luftreinhaltung und Lärmschutz bei einem Einkaufszentrum; Parkplatzbewirtschaftung; Immissionen des Kunden- sowie des Anlieferungsverkehrs. Auflagen zur Regelung des Zufahrtsverkehrs (Einsatz von Sicherheitspersonal), zur Warenanlieferung und zur Ausrüstung der Lieferfahrzeuge (E. 5). Beurteilung der Lärmemissionen der Anlieferung nach Anhang 6 LSV (Industrie- und Gewerbelärm) und Massnahmen zu deren Verminderung (E. 6). Die Pflicht zur Erhebung einer Gebühr für die Benützung von Kundenparkplätzen bei einem Einkaufszentrum ist als Betriebsvorschrift gemäss Art. 12 Abs. 1 lit. c USG eine zulässige Massnahme der verschärften Emissionsbegrenzung im Sinne von Art. 11 Abs. 3 USG (E. 7 und 8). Öffentliches Interesse und Verhältnismässigkeit in Bezug auf diese Massnahme (E. 9). Vereinbarkeit mit der Handels- und Gewerbefreiheit (E. 10).</w:t>
      </w:r>
    </w:p>
    <w:p>
      <w:pPr>
        <w:pStyle w:val="Heading2"/>
      </w:pPr>
      <w:r>
        <w:t>Erwägungen</w:t>
      </w:r>
    </w:p>
    <w:p>
      <w:r>
        <w:rPr>
          <w:b/>
        </w:rPr>
        <w:t>E. 4</w:t>
      </w:r>
    </w:p>
    <w:p>
      <w:r>
        <w:t>Die Nachbarn wenden im Rahmen der Verwaltungsgerichtsbeschwerde ein, das Bauvorhaben verursache übermässige Lärm- und Luftschadstoffimmissionen, weshalb es nicht bewilligt werden könne. Die Bauherrschaft hält demgegenüber die angeordneten Emissionsbeschränkungen für unzulässig. Bei der geplanten Überbauung handelt es sich um eine (neue) Anlage im Sinne von Art. 7 Abs. 7 des Bundesgesetzes über den Umweltschutz vom 7. Oktober 1983 (USG, SR 814.01) , die Einwirkungen in Form von Luftverunreinigungen und Lärm erzeugen wird. Diese sind nach der bundesgerichtlichen Rechtsprechung gesamthaft zu beurteilen, d.h. es sind alle Emissionen zu berücksichtigen, die durch die bestimmungsgemässe Nutzung der Anlage verursacht werden, einschliesslich der von den Bewohnern, Beschäftigten, Besuchern und Kunden verursachten Verkehrsemissionen in der Umgebung der Anlage ( BGE 124 II 272 E. 2a mit Hinweisen). Die Emissionen sind im Rahmen der Vorsorge so weit zu begrenzen, als dies technisch und betrieblich möglich und wirtschaftlich tragbar ist ( Art. 11 Abs. 2 USG , Art. 4 Abs. 1 der Luftreinhalteverordnung vom 16. Dezember 1985 [LRV, SR 814.318.142.1], Art. 7 Abs. 1 der Lärmschutz-Verordnung vom 15. Dezember 1986 [LSV, SR 814.41]). Die Emissionsbegrenzungen werden verschärft, wenn feststeht oder zu erwarten ist, dass die Einwirkungen unter Berücksichtigung der bestehenden Umweltbelastung schädlich oder lästig werden ( Art. 11 Abs. 3 USG , Art. 9 Abs. 4 und Art. 31 ff. LRV ). Wie es sich mit den erforderlichen Emissionsbegrenzungen verhält, wird im Einzelnen in den Erwägungen 6 ff. untersucht. Vorab ist daran zu erinnern, dass das Umweltschutzgesetz nicht ein Verhinderungs-, sondern ein Massnahmengesetz ist ( BGE 116 Ib 159 E. 6b S. 167). Das von den Nachbarn angestrebte Verbot der Anlage kann vorliegend mit Umweltschutzgründen nicht gerechtfertigt werden.</w:t>
      </w:r>
    </w:p>
    <w:p>
      <w:r>
        <w:rPr>
          <w:b/>
        </w:rPr>
        <w:t>E. 5</w:t>
      </w:r>
    </w:p>
    <w:p>
      <w:r>
        <w:t>a) Das Verwaltungsgericht hat die Bau- und Gastgewerbebewilligung des Regierungsstatthalters von Seftigen vom 18. Juli 1996 mit folgenden zusätzlichen Auflagen versehen (die von der Bauherrschaft angefochtenen Teile der Auflagen erscheinen fett): «3.4 Auflagen der kantonalen 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